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50BE4B77" wp14:editId="45D0EE8F">
                  <wp:extent cx="2286000" cy="1524000"/>
                  <wp:effectExtent l="0" t="0" r="0" b="0"/>
                  <wp:docPr id="1" name="Рисунок 1" descr="Bod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d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Корпус гитар серии TRBX выполнен из цельного куска красного дерева. Форма корпуса позволила достичь оптимального баланса между звучанием и удобством игры. Инструмент прекрасно сбалансирован.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Гриф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2F61FAE2" wp14:editId="5F7C1088">
                  <wp:extent cx="2286000" cy="1524000"/>
                  <wp:effectExtent l="0" t="0" r="0" b="0"/>
                  <wp:docPr id="2" name="Рисунок 2" descr="Nec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c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 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5CE28418" wp14:editId="73F620BF">
                  <wp:extent cx="2286000" cy="1524000"/>
                  <wp:effectExtent l="0" t="0" r="0" b="0"/>
                  <wp:docPr id="3" name="Рисунок 3" descr="Neck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ck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Гриф TRBX, изготовленный из 3 кусков клена с двумя вставками из красного дерева, имеет повышенную прочность и обеспечивает превосходное звучание. Удобный профиль грифа делает инструмент идеально подходящим для скоростной игры.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Звукосниматели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78F27E4F" wp14:editId="7EAE25EE">
                  <wp:extent cx="2286000" cy="1524000"/>
                  <wp:effectExtent l="0" t="0" r="0" b="0"/>
                  <wp:docPr id="4" name="Рисунок 4" descr="Pickups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kups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Звукосниматели YGD M3 оснащены керамическими магнитами с большими сердечниками для формирования чистого и мощного звука невероятной глубины и четкости. Шумоподавляющая конструкция устраняет шумы, возникающие при образовании звука, а углубление для опоры большого пальца на корпусе звукоснимателя существенно повышает удобство во время игры.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Электронная схема Performance EQ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09E484A1" wp14:editId="75C6F0C7">
                  <wp:extent cx="2286000" cy="1524000"/>
                  <wp:effectExtent l="0" t="0" r="0" b="0"/>
                  <wp:docPr id="5" name="Рисунок 5" descr="Electronics?Performance EQ?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ectronics?Performance EQ?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5"/>
                <w:szCs w:val="15"/>
                <w:lang w:eastAsia="ru-RU"/>
              </w:rPr>
              <w:t> 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EC0C592" wp14:editId="695F2F29">
                  <wp:extent cx="2286000" cy="1524000"/>
                  <wp:effectExtent l="0" t="0" r="0" b="0"/>
                  <wp:docPr id="6" name="Рисунок 6" descr="Electronics?Performance EQ?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lectronics?Performance EQ?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lastRenderedPageBreak/>
              <w:t>Гитары TRBX 300-й серии имеют эксклюзивную функцию Performance EQ на базе активной электроники с 5-позиционным переключателем, позволяющим выбирать тип и форму АЧХ, и 2-полосным эквалайзером для изменения тембра.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lastRenderedPageBreak/>
              <w:t>Соединение грифа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6468248A" wp14:editId="0563B26F">
                  <wp:extent cx="2286000" cy="1524000"/>
                  <wp:effectExtent l="0" t="0" r="0" b="0"/>
                  <wp:docPr id="7" name="Рисунок 7" descr="Neck Join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ck Join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Для максимальной гибкости конструкции и звонкого, напористого звука в бас-гитарах серии TRBX использовано болтовое крепление грифа. Найденная в результате длительных испытаний форма сочленения грифа с корпусом обеспечивает высокую прочность крепления, удобный доступ к верхним ладам и отлично передает вибрацию.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Бридж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0A4EAC4F" wp14:editId="7A77178F">
                  <wp:extent cx="2286000" cy="1524000"/>
                  <wp:effectExtent l="0" t="0" r="0" b="0"/>
                  <wp:docPr id="8" name="Рисунок 8" descr="Bridg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idge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Массивный литой бридж эффективно передает вибрацию струн корпусу, обеспечивая плотный, насыщенный тембр, стабильность строя и высокую надежность конструкции при частых разъездах. Благодаря увеличенному расстоянию между струнами на 5-струнной модели, которое составляет 18 мм, инструмент идеально подходит как для игры слэпом так и для игры пальцами.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Головка грифа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073514F1" wp14:editId="4A0341C9">
                  <wp:extent cx="2286000" cy="1524000"/>
                  <wp:effectExtent l="0" t="0" r="0" b="0"/>
                  <wp:docPr id="9" name="Рисунок 9" descr="Headstock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adstock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5"/>
                <w:szCs w:val="15"/>
                <w:lang w:eastAsia="ru-RU"/>
              </w:rPr>
              <w:t> 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1A71048B" wp14:editId="426D1577">
                  <wp:extent cx="2286000" cy="1524000"/>
                  <wp:effectExtent l="0" t="0" r="0" b="0"/>
                  <wp:docPr id="10" name="Рисунок 10" descr="Headstock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adstock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Благодаря конструкции головки грифа струна остается прямой на всем протяжении от бриджа до колка. В результате отсутствия бокового натяжения повышается стабильность строя и снижается возможность возникновения посторонних призвуков.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t>Верхний порожек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CC81BAA" wp14:editId="14A500A7">
                  <wp:extent cx="2286000" cy="1524000"/>
                  <wp:effectExtent l="0" t="0" r="0" b="0"/>
                  <wp:docPr id="11" name="Рисунок 11" descr="Nut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t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lastRenderedPageBreak/>
              <w:t>Ширина верхнего порожка составляет 38 мм (4-струнные модели) и 43 мм (5-струнные модели). Это удобно для быстрой игры в любых стилях.</w:t>
            </w:r>
          </w:p>
        </w:tc>
      </w:tr>
      <w:tr w:rsidR="00367FE4" w:rsidRPr="00367FE4" w:rsidTr="00367FE4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b/>
                <w:bCs/>
                <w:color w:val="323131"/>
                <w:sz w:val="27"/>
                <w:szCs w:val="27"/>
                <w:lang w:eastAsia="ru-RU"/>
              </w:rPr>
              <w:lastRenderedPageBreak/>
              <w:t>Выходной разъем</w:t>
            </w:r>
          </w:p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noProof/>
                <w:color w:val="083F6A"/>
                <w:sz w:val="18"/>
                <w:szCs w:val="18"/>
                <w:lang w:eastAsia="ru-RU"/>
              </w:rPr>
              <w:drawing>
                <wp:inline distT="0" distB="0" distL="0" distR="0" wp14:anchorId="23DA3A6D" wp14:editId="3AA9A9E1">
                  <wp:extent cx="2286000" cy="1524000"/>
                  <wp:effectExtent l="0" t="0" r="0" b="0"/>
                  <wp:docPr id="12" name="Рисунок 12" descr="Output Jack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utput Jack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367FE4" w:rsidRPr="00367FE4" w:rsidRDefault="00367FE4" w:rsidP="00367FE4">
            <w:pPr>
              <w:spacing w:after="0" w:line="240" w:lineRule="auto"/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</w:pPr>
            <w:r w:rsidRPr="00367FE4">
              <w:rPr>
                <w:rFonts w:ascii="Verdana" w:eastAsia="Times New Roman" w:hAnsi="Verdana" w:cs="Times New Roman"/>
                <w:color w:val="323131"/>
                <w:sz w:val="18"/>
                <w:szCs w:val="18"/>
                <w:lang w:eastAsia="ru-RU"/>
              </w:rPr>
              <w:t>Стандартный выходной разъем вмонтирован в стальную пластину, что гарантирует его надежность и долговечность.</w:t>
            </w:r>
          </w:p>
        </w:tc>
      </w:tr>
    </w:tbl>
    <w:p w:rsidR="00156FB7" w:rsidRDefault="00156FB7">
      <w:bookmarkStart w:id="0" w:name="_GoBack"/>
      <w:bookmarkEnd w:id="0"/>
    </w:p>
    <w:sectPr w:rsidR="0015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91"/>
    <w:rsid w:val="00156FB7"/>
    <w:rsid w:val="00367FE4"/>
    <w:rsid w:val="00B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218F-9E31-48B0-932E-7EAD79A6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0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yamaha.com/ru/products/musical-instruments/guitars-basses/el-basses/trbx/trbx305/?mode=feature_enlarge&amp;feature_id=637950&amp;image_id=62035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ru.yamaha.com/ru/products/musical-instruments/guitars-basses/el-basses/trbx/trbx305/?mode=feature_enlarge&amp;feature_id=637954&amp;image_id=620356" TargetMode="External"/><Relationship Id="rId26" Type="http://schemas.openxmlformats.org/officeDocument/2006/relationships/hyperlink" Target="http://ru.yamaha.com/ru/products/musical-instruments/guitars-basses/el-basses/trbx/trbx305/?mode=feature_enlarge&amp;feature_id=637957&amp;image_id=62036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ru.yamaha.com/ru/products/musical-instruments/guitars-basses/el-basses/trbx/trbx305/?mode=feature_enlarge&amp;feature_id=637952&amp;image_id=62035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ru.yamaha.com/ru/products/musical-instruments/guitars-basses/el-basses/trbx/trbx305/?mode=feature_enlarge&amp;feature_id=637953&amp;image_id=620355" TargetMode="External"/><Relationship Id="rId20" Type="http://schemas.openxmlformats.org/officeDocument/2006/relationships/hyperlink" Target="http://ru.yamaha.com/ru/products/musical-instruments/guitars-basses/el-basses/trbx/trbx305/?mode=feature_enlarge&amp;feature_id=637955&amp;image_id=62035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u.yamaha.com/ru/products/musical-instruments/guitars-basses/el-basses/trbx/trbx305/?mode=feature_enlarge&amp;feature_id=637950&amp;image_id=620350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ru.yamaha.com/ru/products/musical-instruments/guitars-basses/el-basses/trbx/trbx305/?mode=feature_enlarge&amp;feature_id=637956&amp;image_id=620359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://ru.yamaha.com/ru/products/musical-instruments/guitars-basses/el-basses/trbx/trbx305/?mode=feature_enlarge&amp;feature_id=637951&amp;image_id=620352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ru.yamaha.com/ru/products/musical-instruments/guitars-basses/el-basses/trbx/trbx305/?mode=feature_enlarge&amp;feature_id=637949&amp;image_id=62034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ru.yamaha.com/ru/products/musical-instruments/guitars-basses/el-basses/trbx/trbx305/?mode=feature_enlarge&amp;feature_id=637952&amp;image_id=620354" TargetMode="External"/><Relationship Id="rId22" Type="http://schemas.openxmlformats.org/officeDocument/2006/relationships/hyperlink" Target="http://ru.yamaha.com/ru/products/musical-instruments/guitars-basses/el-basses/trbx/trbx305/?mode=feature_enlarge&amp;feature_id=637955&amp;image_id=620358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2015-02-22T07:13:00Z</dcterms:created>
  <dcterms:modified xsi:type="dcterms:W3CDTF">2015-02-22T07:13:00Z</dcterms:modified>
</cp:coreProperties>
</file>