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b/>
          <w:color w:val="323131"/>
          <w:spacing w:val="0"/>
          <w:position w:val="0"/>
          <w:sz w:val="18"/>
          <w:shd w:fill="FFFFFF" w:val="clear"/>
        </w:rPr>
        <w:t xml:space="preserve">Технические характеристики: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клавиш: 61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Чувствительность к касанию: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Полифония: 32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голосов: 300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Наложение тембров: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Разделение клавиатуры: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Цифровые эффекты: Реверберация, хорус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Стили автоаккомпанемента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стилей: 100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вариаций стилей: 1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Автовступление: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Автоокончание: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Синхронный старт: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Затухание/Усиление: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Построение аккордов: Одной или 3-мя клавишами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Функция обучения: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Функция записи: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Метроном: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Регулировка темпа: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Транспонирование: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Колесо Pitch Bend: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Кнопка модуляции: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Быстрый доступ к перкуссии: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Встроенные композиции: 100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Демонстрационные композиции: 10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песен: 1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Количество дорожек: 1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Банков: 1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Ячеек в банке: 9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Дисплей: ЖК-дисплей без подсветки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Слот карты памяти SD: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Другие функции: Словарь аккордов, имитация педали сустейн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Наушники: 6,3 мм джек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Вход для педали сустейн: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Вход для педали громкости: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Вход для микрофона: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Линейный вход: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Линейный выход: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USB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для подключения к компьютеру: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USB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для подключения флэшек: 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MIDI IN: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MIDI OUT: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Нет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Питание: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Работа от батареек: 6 элементов AA-типа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Мощность динамика: 2 х 3 Вт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Сопротивление: 4 Ом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Размеры (ВъДъШ): 136 х 940 х 356 мм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Вес (без упаковки): 3,75 кг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Вес (в упаковке): 6 кг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Блок питания: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Руководство пользователя: Есть</w:t>
        <w:br/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    </w:t>
      </w:r>
      <w:r>
        <w:rPr>
          <w:rFonts w:ascii="Verdana" w:hAnsi="Verdana" w:cs="Verdana" w:eastAsia="Verdana"/>
          <w:color w:val="323131"/>
          <w:spacing w:val="0"/>
          <w:position w:val="0"/>
          <w:sz w:val="18"/>
          <w:shd w:fill="FFFFFF" w:val="clear"/>
        </w:rPr>
        <w:t xml:space="preserve">Пюпитр: Есть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